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2E15" w14:textId="512F1DFA" w:rsidR="00714B7D" w:rsidRDefault="00E21390" w:rsidP="00887484">
      <w:pPr>
        <w:spacing w:line="240" w:lineRule="auto"/>
        <w:rPr>
          <w:i/>
        </w:rPr>
      </w:pPr>
      <w:r>
        <w:t>Alkaptonuria is an autosomal recessive genetic disorder where patients develop joint pain</w:t>
      </w:r>
      <w:bookmarkStart w:id="0" w:name="_GoBack"/>
      <w:bookmarkEnd w:id="0"/>
      <w:r>
        <w:t xml:space="preserve"> early in life, followed later by hearing loss, calcification of the heart valves, and increased risk of kidney and gallbladder stones [1]. Alkaptonuria is caused by mutations in the HGD gene, which is responsible for the breakdown of homogentisic acid. Homogentisic acid is a by-product in the pathway that synthesizes phenylalanine and </w:t>
      </w:r>
      <w:proofErr w:type="gramStart"/>
      <w:r>
        <w:t>tyrosine, and</w:t>
      </w:r>
      <w:proofErr w:type="gramEnd"/>
      <w:r>
        <w:t xml:space="preserve"> is converted into a melanin-like protein that is deposited onto the collagen of various tissues. This inhibits the tissue’s functioning and stains it black [1]. The HGD gene is highly expressed in the prostate, and some cases of alkaptonuria result in prostate stones [1].</w:t>
      </w:r>
      <w:r>
        <w:rPr>
          <w:i/>
        </w:rPr>
        <w:t xml:space="preserve"> It is unknown what role HGD plays in the metabolic functioning of the prostate </w:t>
      </w:r>
      <w:r w:rsidR="005E431F">
        <w:rPr>
          <w:i/>
        </w:rPr>
        <w:t>gland</w:t>
      </w:r>
      <w:r>
        <w:rPr>
          <w:i/>
        </w:rPr>
        <w:t>.</w:t>
      </w:r>
    </w:p>
    <w:p w14:paraId="6551C25B" w14:textId="00AF0958" w:rsidR="00714B7D" w:rsidRDefault="00E21390" w:rsidP="00887484">
      <w:pPr>
        <w:spacing w:line="240" w:lineRule="auto"/>
      </w:pPr>
      <w:r>
        <w:t xml:space="preserve">My </w:t>
      </w:r>
      <w:r>
        <w:rPr>
          <w:b/>
        </w:rPr>
        <w:t>primary goal</w:t>
      </w:r>
      <w:r>
        <w:rPr>
          <w:b/>
          <w:i/>
        </w:rPr>
        <w:t xml:space="preserve"> </w:t>
      </w:r>
      <w:r>
        <w:t xml:space="preserve">is to </w:t>
      </w:r>
      <w:r w:rsidR="005E431F">
        <w:t>determine</w:t>
      </w:r>
      <w:r>
        <w:t xml:space="preserve"> the role of HGD in amino acid metabolism in the prostate. I will use the mouse (</w:t>
      </w:r>
      <w:r>
        <w:rPr>
          <w:i/>
        </w:rPr>
        <w:t>Mus musculus</w:t>
      </w:r>
      <w:r>
        <w:t>), as it does not suffer from the plaques associated with alkaptonuria but still exhibits high urinary levels of homogentisic acid.</w:t>
      </w:r>
      <w:r w:rsidR="00C2636F">
        <w:t xml:space="preserve"> Mice also have analogous prostate anatomy to humans.</w:t>
      </w:r>
      <w:r>
        <w:t xml:space="preserve"> I </w:t>
      </w:r>
      <w:r>
        <w:rPr>
          <w:b/>
        </w:rPr>
        <w:t>hypothesize</w:t>
      </w:r>
      <w:r>
        <w:t xml:space="preserve"> that HGD-mutant on a high-tyrosine diet will exhibit the formation of prostate </w:t>
      </w:r>
      <w:proofErr w:type="gramStart"/>
      <w:r>
        <w:t>stones, and</w:t>
      </w:r>
      <w:proofErr w:type="gramEnd"/>
      <w:r>
        <w:t xml:space="preserve"> will also exhibit higher levels of HGD expression. My </w:t>
      </w:r>
      <w:r>
        <w:rPr>
          <w:b/>
        </w:rPr>
        <w:t>long-term goal</w:t>
      </w:r>
      <w:r>
        <w:t xml:space="preserve"> is to better understand the role of HGD in prostate function</w:t>
      </w:r>
      <w:r w:rsidR="005E431F">
        <w:t>.</w:t>
      </w:r>
    </w:p>
    <w:p w14:paraId="0C99F806" w14:textId="77777777" w:rsidR="00714B7D" w:rsidRDefault="00714B7D" w:rsidP="00887484">
      <w:pPr>
        <w:spacing w:line="240" w:lineRule="auto"/>
      </w:pPr>
    </w:p>
    <w:p w14:paraId="09CCC54A" w14:textId="4AAC5FF6" w:rsidR="00714B7D" w:rsidRDefault="00E21390" w:rsidP="00887484">
      <w:pPr>
        <w:spacing w:line="240" w:lineRule="auto"/>
      </w:pPr>
      <w:r>
        <w:rPr>
          <w:u w:val="single"/>
        </w:rPr>
        <w:t>Aim 1:</w:t>
      </w:r>
      <w:r>
        <w:t xml:space="preserve"> Identify HGD mutations that result in severe prostate stone phenotype</w:t>
      </w:r>
      <w:r w:rsidR="005E431F">
        <w:t>s</w:t>
      </w:r>
      <w:r>
        <w:t>.</w:t>
      </w:r>
    </w:p>
    <w:p w14:paraId="770CE9B1" w14:textId="2C6C26CC" w:rsidR="005E431F" w:rsidRPr="005A4A17" w:rsidRDefault="00E21390" w:rsidP="00887484">
      <w:pPr>
        <w:spacing w:line="240" w:lineRule="auto"/>
      </w:pPr>
      <w:r>
        <w:rPr>
          <w:b/>
        </w:rPr>
        <w:t xml:space="preserve">Approach: </w:t>
      </w:r>
      <w:r>
        <w:t xml:space="preserve">I will </w:t>
      </w:r>
      <w:r w:rsidR="00302641">
        <w:t>identify and align</w:t>
      </w:r>
      <w:r>
        <w:t xml:space="preserve"> HGD </w:t>
      </w:r>
      <w:r w:rsidR="00302641">
        <w:t>homolog protein sequences</w:t>
      </w:r>
      <w:r w:rsidR="005E431F">
        <w:t xml:space="preserve"> to identify several highly conserved regions</w:t>
      </w:r>
      <w:r>
        <w:t>. Then, using CRISPR/Cas9, I will create male mouse mutants that have</w:t>
      </w:r>
      <w:r w:rsidR="005E431F">
        <w:t xml:space="preserve"> one of the identified regions</w:t>
      </w:r>
      <w:r>
        <w:t xml:space="preserve"> mutat</w:t>
      </w:r>
      <w:r w:rsidR="005E431F">
        <w:t>ed</w:t>
      </w:r>
      <w:r>
        <w:t xml:space="preserve"> and feed them a diet high in tyrosine</w:t>
      </w:r>
      <w:r w:rsidR="003F09BB">
        <w:t xml:space="preserve"> [2]</w:t>
      </w:r>
      <w:r>
        <w:t>.</w:t>
      </w:r>
      <w:r w:rsidR="00C16157">
        <w:t xml:space="preserve"> A control group will also be fed a standard diet.</w:t>
      </w:r>
      <w:r>
        <w:t xml:space="preserve"> At the end of their natural lifespan, they will be assessed for the presence and quantity relative to body mass of prostate stones. </w:t>
      </w:r>
      <w:r>
        <w:rPr>
          <w:b/>
        </w:rPr>
        <w:t>Rationale:</w:t>
      </w:r>
      <w:r>
        <w:t xml:space="preserve"> Different HGD mutations </w:t>
      </w:r>
      <w:r w:rsidR="005E431F">
        <w:t>in humans can result in phenotypes with different amounts of severity, and a mouse model would be useful for understanding how different mutations can relate to risk for prostate stones in humans.</w:t>
      </w:r>
      <w:r w:rsidR="005A4A17">
        <w:t xml:space="preserve"> </w:t>
      </w:r>
      <w:r w:rsidR="005A4A17">
        <w:rPr>
          <w:b/>
        </w:rPr>
        <w:t>Hypothesis:</w:t>
      </w:r>
      <w:r w:rsidR="005A4A17">
        <w:t xml:space="preserve"> I hypothesize that </w:t>
      </w:r>
      <w:r w:rsidR="00874AF3">
        <w:t xml:space="preserve">only the mice fed the high tyrosine diet will </w:t>
      </w:r>
      <w:r w:rsidR="00A37DE0">
        <w:t xml:space="preserve">have </w:t>
      </w:r>
      <w:r w:rsidR="00DB6224">
        <w:t xml:space="preserve">prostate stones, and that the amount of prostate stones will vary </w:t>
      </w:r>
      <w:r w:rsidR="000E1256">
        <w:t>across the different mutations.</w:t>
      </w:r>
    </w:p>
    <w:p w14:paraId="2E31897E" w14:textId="77777777" w:rsidR="005E431F" w:rsidRDefault="005E431F" w:rsidP="00887484">
      <w:pPr>
        <w:spacing w:line="240" w:lineRule="auto"/>
      </w:pPr>
    </w:p>
    <w:p w14:paraId="7FEAEDA9" w14:textId="13F96D0B" w:rsidR="00302149" w:rsidRDefault="005E431F" w:rsidP="00887484">
      <w:pPr>
        <w:spacing w:line="240" w:lineRule="auto"/>
      </w:pPr>
      <w:r>
        <w:rPr>
          <w:u w:val="single"/>
        </w:rPr>
        <w:t>Aim 2:</w:t>
      </w:r>
      <w:r>
        <w:t xml:space="preserve"> </w:t>
      </w:r>
      <w:r w:rsidR="000E1256">
        <w:t xml:space="preserve">Identify </w:t>
      </w:r>
      <w:r>
        <w:t>differences in</w:t>
      </w:r>
      <w:r w:rsidR="00302149">
        <w:t xml:space="preserve"> prostate gene</w:t>
      </w:r>
      <w:r w:rsidR="00C4085C">
        <w:t xml:space="preserve"> expression in HGD mutants</w:t>
      </w:r>
    </w:p>
    <w:p w14:paraId="0FB969D3" w14:textId="363E2F42" w:rsidR="00714B7D" w:rsidRDefault="00302149" w:rsidP="00887484">
      <w:pPr>
        <w:spacing w:line="240" w:lineRule="auto"/>
      </w:pPr>
      <w:r>
        <w:rPr>
          <w:b/>
        </w:rPr>
        <w:t>Approach:</w:t>
      </w:r>
      <w:r>
        <w:t xml:space="preserve"> Using the same lines of mice created in the first aim, I will use RNA sequencing to quantify expression of genes</w:t>
      </w:r>
      <w:r w:rsidR="00C4085C">
        <w:t xml:space="preserve"> by isolating prostate tissue from wild type and HGD mutant male mice</w:t>
      </w:r>
      <w:r>
        <w:t xml:space="preserve"> at different age classes </w:t>
      </w:r>
      <w:r w:rsidR="00CA5051">
        <w:t xml:space="preserve">fed </w:t>
      </w:r>
      <w:r>
        <w:t>on normal and high tyrosine diet.</w:t>
      </w:r>
      <w:r w:rsidR="00CA5051">
        <w:t xml:space="preserve"> The differences in gene expression will then be </w:t>
      </w:r>
      <w:r w:rsidR="003E326B">
        <w:t xml:space="preserve">sorted by GO terms to determine which biological processes are affected in male mutants. </w:t>
      </w:r>
      <w:r w:rsidR="00782678">
        <w:t xml:space="preserve">Genes from this list will then be </w:t>
      </w:r>
      <w:r w:rsidR="000D4A70">
        <w:t xml:space="preserve">validated by </w:t>
      </w:r>
      <w:r w:rsidR="006F50EB">
        <w:t>generating mice lines with those genes knocked out via CRISPR. Mice from those lines will also be assessed for prostate stone development.</w:t>
      </w:r>
      <w:r>
        <w:t xml:space="preserve"> </w:t>
      </w:r>
      <w:r>
        <w:rPr>
          <w:b/>
        </w:rPr>
        <w:t>Rationale:</w:t>
      </w:r>
      <w:r>
        <w:t xml:space="preserve"> Identifying how gene expression responds to high homogentisic acid levels can help narrow down or identify possible causes of prostate stones in HGD-mutant individuals, as well as uncover previously unknown roles the gene may play.</w:t>
      </w:r>
      <w:r w:rsidR="006F50EB">
        <w:t xml:space="preserve"> </w:t>
      </w:r>
      <w:r w:rsidR="006F50EB">
        <w:rPr>
          <w:b/>
        </w:rPr>
        <w:t>Hypothesis:</w:t>
      </w:r>
      <w:r w:rsidR="006F50EB">
        <w:t xml:space="preserve"> I hypothesize that </w:t>
      </w:r>
      <w:r w:rsidR="00366B1E">
        <w:t>genes involved with metabol</w:t>
      </w:r>
      <w:r w:rsidR="00211515">
        <w:t>ic breakdown pathways will have their expression increased.</w:t>
      </w:r>
    </w:p>
    <w:p w14:paraId="0AA7C308" w14:textId="60F1CB64" w:rsidR="00887484" w:rsidRDefault="00887484" w:rsidP="00887484">
      <w:pPr>
        <w:spacing w:line="240" w:lineRule="auto"/>
      </w:pPr>
    </w:p>
    <w:p w14:paraId="3714B217" w14:textId="7C7556F1" w:rsidR="00887484" w:rsidRDefault="00887484" w:rsidP="00887484">
      <w:pPr>
        <w:spacing w:line="240" w:lineRule="auto"/>
      </w:pPr>
      <w:r>
        <w:rPr>
          <w:u w:val="single"/>
        </w:rPr>
        <w:t>Aim 3:</w:t>
      </w:r>
      <w:r>
        <w:t xml:space="preserve"> </w:t>
      </w:r>
      <w:r w:rsidR="00F327E5">
        <w:t>Analyze the importance of protein phosphorylation locations in HGD function</w:t>
      </w:r>
    </w:p>
    <w:p w14:paraId="3C955AA1" w14:textId="4C192A4A" w:rsidR="00F327E5" w:rsidRDefault="00F327E5" w:rsidP="00887484">
      <w:pPr>
        <w:spacing w:line="240" w:lineRule="auto"/>
      </w:pPr>
      <w:r>
        <w:rPr>
          <w:b/>
        </w:rPr>
        <w:t>Approach:</w:t>
      </w:r>
      <w:r>
        <w:t xml:space="preserve"> I will use </w:t>
      </w:r>
      <w:proofErr w:type="spellStart"/>
      <w:r w:rsidR="00EF1BEB">
        <w:t>NetPhos</w:t>
      </w:r>
      <w:proofErr w:type="spellEnd"/>
      <w:r w:rsidR="00EF1BEB">
        <w:t xml:space="preserve"> to identify phosphorylation locations on the </w:t>
      </w:r>
      <w:r w:rsidR="008709B9">
        <w:t xml:space="preserve">mouse and human </w:t>
      </w:r>
      <w:r w:rsidR="00EF1BEB">
        <w:t>HGD protein sequence</w:t>
      </w:r>
      <w:r w:rsidR="008709B9">
        <w:t>s</w:t>
      </w:r>
      <w:r w:rsidR="00EF1BEB">
        <w:t xml:space="preserve"> [3]. </w:t>
      </w:r>
      <w:r w:rsidR="008709B9">
        <w:t xml:space="preserve">Where the phosphorylation locations are identical </w:t>
      </w:r>
      <w:r w:rsidR="00EE128D">
        <w:t>for both species</w:t>
      </w:r>
      <w:r w:rsidR="00EF1BEB">
        <w:t xml:space="preserve">, I </w:t>
      </w:r>
      <w:r w:rsidR="00EB205D">
        <w:t xml:space="preserve">will generate lines of mice where the phosphorylation location is mutated, and their prostate stone phenotype on normal and high-tyrosine diets will be </w:t>
      </w:r>
      <w:r w:rsidR="00EE128D">
        <w:t>assessed</w:t>
      </w:r>
      <w:r w:rsidR="00EB205D">
        <w:t xml:space="preserve">, as per the first aim. </w:t>
      </w:r>
      <w:r w:rsidR="00EE128D">
        <w:rPr>
          <w:b/>
        </w:rPr>
        <w:t>Rationale:</w:t>
      </w:r>
      <w:r w:rsidR="00EE128D">
        <w:t xml:space="preserve"> Phosphorylation sites are important for the function of many proteins, </w:t>
      </w:r>
      <w:r w:rsidR="00BD084A">
        <w:t xml:space="preserve">and a protein as small as HGD might be highly susceptible to a change in just one site. </w:t>
      </w:r>
      <w:r w:rsidR="00BD084A">
        <w:rPr>
          <w:b/>
        </w:rPr>
        <w:t>Hypothesis:</w:t>
      </w:r>
      <w:r w:rsidR="00BD084A">
        <w:t xml:space="preserve"> I hypothesize that mutations at phosphorylation sites will cause an impediment to HGD </w:t>
      </w:r>
      <w:proofErr w:type="gramStart"/>
      <w:r w:rsidR="00BD084A">
        <w:t>function, but</w:t>
      </w:r>
      <w:proofErr w:type="gramEnd"/>
      <w:r w:rsidR="00BD084A">
        <w:t xml:space="preserve"> will only do so significantly when the site occurs in a highly conserved (as identified in the first aim)</w:t>
      </w:r>
      <w:r w:rsidR="003F09BB">
        <w:t xml:space="preserve"> region of the sequence.</w:t>
      </w:r>
    </w:p>
    <w:p w14:paraId="7DECBAF7" w14:textId="04733051" w:rsidR="003F09BB" w:rsidRDefault="003F09BB" w:rsidP="00887484">
      <w:pPr>
        <w:spacing w:line="240" w:lineRule="auto"/>
      </w:pPr>
      <w:r>
        <w:lastRenderedPageBreak/>
        <w:t>References:</w:t>
      </w:r>
    </w:p>
    <w:p w14:paraId="52115729" w14:textId="7809D9B8" w:rsidR="003F09BB" w:rsidRDefault="003F09BB" w:rsidP="00887484">
      <w:pPr>
        <w:spacing w:line="240" w:lineRule="auto"/>
      </w:pPr>
    </w:p>
    <w:p w14:paraId="54198C22" w14:textId="19F5F57C" w:rsidR="006D61D8" w:rsidRDefault="008806AB" w:rsidP="00887484">
      <w:pPr>
        <w:spacing w:line="240" w:lineRule="auto"/>
      </w:pPr>
      <w:r>
        <w:t>[1]</w:t>
      </w:r>
      <w:r w:rsidR="006D61D8" w:rsidRPr="006D61D8">
        <w:t> ​</w:t>
      </w:r>
      <w:proofErr w:type="spellStart"/>
      <w:r w:rsidR="00C23B42" w:rsidRPr="00C23B42">
        <w:t>Ranganath</w:t>
      </w:r>
      <w:proofErr w:type="spellEnd"/>
      <w:r w:rsidR="00C23B42" w:rsidRPr="00C23B42">
        <w:t xml:space="preserve">, </w:t>
      </w:r>
      <w:proofErr w:type="spellStart"/>
      <w:r w:rsidR="00C23B42" w:rsidRPr="00C23B42">
        <w:t>Lakshminarayan</w:t>
      </w:r>
      <w:proofErr w:type="spellEnd"/>
      <w:r w:rsidR="00C23B42" w:rsidRPr="00C23B42">
        <w:t xml:space="preserve"> R., Jonathan C. Jarvis, and James A. Gallagher. "Recent advances in management of alkaptonuria (invited review; best practice article)." </w:t>
      </w:r>
      <w:r w:rsidR="00C23B42" w:rsidRPr="00C23B42">
        <w:rPr>
          <w:i/>
          <w:iCs/>
        </w:rPr>
        <w:t>Journal of clinical pathology</w:t>
      </w:r>
      <w:r w:rsidR="00C23B42" w:rsidRPr="00C23B42">
        <w:t> (2013): jclinpath-2012.</w:t>
      </w:r>
    </w:p>
    <w:p w14:paraId="0BD75A3C" w14:textId="77777777" w:rsidR="00C23B42" w:rsidRDefault="00C23B42" w:rsidP="00887484">
      <w:pPr>
        <w:spacing w:line="240" w:lineRule="auto"/>
      </w:pPr>
    </w:p>
    <w:p w14:paraId="759660F3" w14:textId="5431C3DB" w:rsidR="006D61D8" w:rsidRDefault="00641BCD" w:rsidP="00887484">
      <w:pPr>
        <w:spacing w:line="240" w:lineRule="auto"/>
      </w:pPr>
      <w:r>
        <w:t xml:space="preserve">[2] </w:t>
      </w:r>
      <w:r w:rsidR="005D2D7F" w:rsidRPr="005D2D7F">
        <w:t>Cong, Le, et al. "Multiplex genome engineering using CRISPR/Cas systems." </w:t>
      </w:r>
      <w:r w:rsidR="005D2D7F" w:rsidRPr="005D2D7F">
        <w:rPr>
          <w:i/>
          <w:iCs/>
        </w:rPr>
        <w:t>Science</w:t>
      </w:r>
      <w:r w:rsidR="005D2D7F" w:rsidRPr="005D2D7F">
        <w:t> (2013): 1231143.</w:t>
      </w:r>
    </w:p>
    <w:p w14:paraId="606E9D19" w14:textId="77777777" w:rsidR="008806AB" w:rsidRDefault="008806AB" w:rsidP="00887484">
      <w:pPr>
        <w:spacing w:line="240" w:lineRule="auto"/>
      </w:pPr>
    </w:p>
    <w:p w14:paraId="69C68584" w14:textId="561B642D" w:rsidR="003F09BB" w:rsidRPr="00BD084A" w:rsidRDefault="006503A8" w:rsidP="00EA2726">
      <w:pPr>
        <w:spacing w:line="240" w:lineRule="auto"/>
      </w:pPr>
      <w:r>
        <w:t xml:space="preserve">[3] </w:t>
      </w:r>
      <w:proofErr w:type="spellStart"/>
      <w:r w:rsidR="00EA2726" w:rsidRPr="00EA2726">
        <w:t>Blom</w:t>
      </w:r>
      <w:proofErr w:type="spellEnd"/>
      <w:r w:rsidR="00EA2726" w:rsidRPr="00EA2726">
        <w:t xml:space="preserve">, Nikolaj, Steen </w:t>
      </w:r>
      <w:proofErr w:type="spellStart"/>
      <w:r w:rsidR="00EA2726" w:rsidRPr="00EA2726">
        <w:t>Gammeltoft</w:t>
      </w:r>
      <w:proofErr w:type="spellEnd"/>
      <w:r w:rsidR="00EA2726" w:rsidRPr="00EA2726">
        <w:t xml:space="preserve">, and </w:t>
      </w:r>
      <w:proofErr w:type="spellStart"/>
      <w:r w:rsidR="00EA2726" w:rsidRPr="00EA2726">
        <w:t>Søren</w:t>
      </w:r>
      <w:proofErr w:type="spellEnd"/>
      <w:r w:rsidR="00EA2726" w:rsidRPr="00EA2726">
        <w:t xml:space="preserve"> </w:t>
      </w:r>
      <w:proofErr w:type="spellStart"/>
      <w:r w:rsidR="00EA2726" w:rsidRPr="00EA2726">
        <w:t>Brunak</w:t>
      </w:r>
      <w:proofErr w:type="spellEnd"/>
      <w:r w:rsidR="00EA2726" w:rsidRPr="00EA2726">
        <w:t>. "Sequence and structure-based prediction of eukaryotic protein phosphorylation sites1." </w:t>
      </w:r>
      <w:r w:rsidR="00EA2726" w:rsidRPr="00EA2726">
        <w:rPr>
          <w:i/>
          <w:iCs/>
        </w:rPr>
        <w:t>Journal of molecular biology</w:t>
      </w:r>
      <w:r w:rsidR="00EA2726" w:rsidRPr="00EA2726">
        <w:t>294.5 (1999): 1351-1362.</w:t>
      </w:r>
    </w:p>
    <w:sectPr w:rsidR="003F09BB" w:rsidRPr="00BD084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D8A1F" w14:textId="77777777" w:rsidR="00275D19" w:rsidRDefault="00E21390">
      <w:pPr>
        <w:spacing w:line="240" w:lineRule="auto"/>
      </w:pPr>
      <w:r>
        <w:separator/>
      </w:r>
    </w:p>
  </w:endnote>
  <w:endnote w:type="continuationSeparator" w:id="0">
    <w:p w14:paraId="58276E1C" w14:textId="77777777" w:rsidR="00275D19" w:rsidRDefault="00E2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D7122" w14:textId="77777777" w:rsidR="00275D19" w:rsidRDefault="00E21390">
      <w:pPr>
        <w:spacing w:line="240" w:lineRule="auto"/>
      </w:pPr>
      <w:r>
        <w:separator/>
      </w:r>
    </w:p>
  </w:footnote>
  <w:footnote w:type="continuationSeparator" w:id="0">
    <w:p w14:paraId="0D885B89" w14:textId="77777777" w:rsidR="00275D19" w:rsidRDefault="00E2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7B85A" w14:textId="77777777" w:rsidR="00714B7D" w:rsidRDefault="00E21390">
    <w:pPr>
      <w:jc w:val="right"/>
    </w:pPr>
    <w:r>
      <w:t>Will Rosenthal</w:t>
    </w:r>
  </w:p>
  <w:p w14:paraId="51B831D5" w14:textId="08FB3EB1" w:rsidR="00714B7D" w:rsidRDefault="00E21390">
    <w:pPr>
      <w:jc w:val="right"/>
    </w:pPr>
    <w:r>
      <w:t xml:space="preserve">Specific Aims </w:t>
    </w:r>
    <w:r w:rsidR="00C23B42">
      <w:t>4-19</w:t>
    </w:r>
    <w:r>
      <w:t>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7D"/>
    <w:rsid w:val="000D4A70"/>
    <w:rsid w:val="000E1256"/>
    <w:rsid w:val="00101428"/>
    <w:rsid w:val="00211515"/>
    <w:rsid w:val="00275D19"/>
    <w:rsid w:val="00302149"/>
    <w:rsid w:val="00302641"/>
    <w:rsid w:val="00366B1E"/>
    <w:rsid w:val="003E326B"/>
    <w:rsid w:val="003F09BB"/>
    <w:rsid w:val="005A4A17"/>
    <w:rsid w:val="005D2D7F"/>
    <w:rsid w:val="005E431F"/>
    <w:rsid w:val="00641BCD"/>
    <w:rsid w:val="006503A8"/>
    <w:rsid w:val="006D61D8"/>
    <w:rsid w:val="006F50EB"/>
    <w:rsid w:val="00714B7D"/>
    <w:rsid w:val="00782678"/>
    <w:rsid w:val="008709B9"/>
    <w:rsid w:val="00874AF3"/>
    <w:rsid w:val="008806AB"/>
    <w:rsid w:val="00887484"/>
    <w:rsid w:val="00A37DE0"/>
    <w:rsid w:val="00A56DBD"/>
    <w:rsid w:val="00BD084A"/>
    <w:rsid w:val="00C16157"/>
    <w:rsid w:val="00C23B42"/>
    <w:rsid w:val="00C2636F"/>
    <w:rsid w:val="00C4085C"/>
    <w:rsid w:val="00CA5051"/>
    <w:rsid w:val="00DB6224"/>
    <w:rsid w:val="00DF6758"/>
    <w:rsid w:val="00E21390"/>
    <w:rsid w:val="00EA2726"/>
    <w:rsid w:val="00EB205D"/>
    <w:rsid w:val="00EE128D"/>
    <w:rsid w:val="00EF1BEB"/>
    <w:rsid w:val="00F327E5"/>
    <w:rsid w:val="00F7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06FC9"/>
  <w15:docId w15:val="{965027ED-FADE-4359-A991-3092DE44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2139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390"/>
  </w:style>
  <w:style w:type="paragraph" w:styleId="Footer">
    <w:name w:val="footer"/>
    <w:basedOn w:val="Normal"/>
    <w:link w:val="FooterChar"/>
    <w:uiPriority w:val="99"/>
    <w:unhideWhenUsed/>
    <w:rsid w:val="00E2139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Rosenthal</dc:creator>
  <cp:lastModifiedBy>Will Rosenthal</cp:lastModifiedBy>
  <cp:revision>37</cp:revision>
  <dcterms:created xsi:type="dcterms:W3CDTF">2018-03-23T02:05:00Z</dcterms:created>
  <dcterms:modified xsi:type="dcterms:W3CDTF">2018-04-19T22:38:00Z</dcterms:modified>
</cp:coreProperties>
</file>